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572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pStyle w:val="2"/>
        <w:snapToGrid w:val="0"/>
        <w:spacing w:before="0" w:beforeAutospacing="0" w:after="0" w:afterAutospacing="0" w:line="57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水利工程建设质量管理小组</w:t>
      </w:r>
    </w:p>
    <w:p>
      <w:pPr>
        <w:pStyle w:val="2"/>
        <w:snapToGrid w:val="0"/>
        <w:spacing w:before="0" w:beforeAutospacing="0" w:after="0" w:afterAutospacing="0" w:line="572" w:lineRule="exact"/>
        <w:jc w:val="center"/>
        <w:rPr>
          <w:rFonts w:hint="default" w:eastAsia="方正小标宋简体"/>
          <w:b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成果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发布会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参会回执</w:t>
      </w:r>
    </w:p>
    <w:tbl>
      <w:tblPr>
        <w:tblStyle w:val="4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888"/>
        <w:gridCol w:w="1165"/>
        <w:gridCol w:w="1473"/>
        <w:gridCol w:w="320"/>
        <w:gridCol w:w="727"/>
        <w:gridCol w:w="1098"/>
        <w:gridCol w:w="495"/>
        <w:gridCol w:w="47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82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600" w:type="dxa"/>
            <w:gridSpan w:val="8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817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282" w:type="dxa"/>
            <w:gridSpan w:val="10"/>
            <w:noWrap w:val="0"/>
            <w:vAlign w:val="top"/>
          </w:tcPr>
          <w:p>
            <w:pPr>
              <w:tabs>
                <w:tab w:val="left" w:pos="2878"/>
              </w:tabs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8"/>
                <w:szCs w:val="28"/>
                <w:lang w:val="en-US" w:eastAsia="zh-CN"/>
              </w:rPr>
              <w:t>成果发布人员参会</w:t>
            </w:r>
            <w:r>
              <w:rPr>
                <w:rFonts w:ascii="Times New Roman" w:eastAsia="仿宋_GB2312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_GB2312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_GB2312"/>
                <w:sz w:val="28"/>
                <w:szCs w:val="28"/>
                <w:lang w:val="en-US" w:eastAsia="zh-CN"/>
              </w:rPr>
              <w:t>QC小组名称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参会人员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  <w:lang w:val="en-US" w:eastAsia="zh-CN"/>
              </w:rPr>
              <w:t>发表人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94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备注</w:t>
            </w:r>
          </w:p>
        </w:tc>
        <w:tc>
          <w:tcPr>
            <w:tcW w:w="8488" w:type="dxa"/>
            <w:gridSpan w:val="9"/>
            <w:noWrap w:val="0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282" w:type="dxa"/>
            <w:gridSpan w:val="10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观摩学习人员参会信息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94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846" w:type="dxa"/>
            <w:gridSpan w:val="4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232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参会人员</w:t>
            </w: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94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846" w:type="dxa"/>
            <w:gridSpan w:val="4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0" w:type="dxa"/>
            <w:gridSpan w:val="3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instrText xml:space="preserve"> HYPERLINK "mailto:1、请于2021年1月5日下班前将报名回执（盖公章扫描件）发送到协会邮箱sz_slxh@163.com，并缴纳交流学习费用（申报QC成果），观摩人员不收取费用。" </w:instrTex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1、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</w:rPr>
        <w:t>请于202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</w:rPr>
        <w:t>年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</w:rPr>
        <w:t>月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6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</w:rPr>
        <w:t>日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下班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</w:rPr>
        <w:t>前将报名回执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（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盖公章扫描件）发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</w:rPr>
        <w:t>送到协会邮箱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sz_slxh@163.com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，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并缴纳交流学习费用（申报QC成果），观摩人员不收取费用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；</w:t>
      </w:r>
    </w:p>
    <w:p>
      <w:pPr>
        <w:tabs>
          <w:tab w:val="left" w:pos="892"/>
        </w:tabs>
        <w:spacing w:line="572" w:lineRule="exac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2、收到协会确认报名信息的邮件后即报名成功。</w:t>
      </w:r>
    </w:p>
    <w:p/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1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吴姐姐</dc:creator>
  <cp:lastModifiedBy>零日科技</cp:lastModifiedBy>
  <dcterms:modified xsi:type="dcterms:W3CDTF">2020-12-31T06:26:02Z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