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深圳市水利工程行业协会：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我单位在经营过程中，严格执行国家安全生产的各项法律法规，</w:t>
      </w:r>
      <w:r>
        <w:rPr>
          <w:rFonts w:hint="eastAsia" w:ascii="仿宋" w:hAnsi="仿宋" w:eastAsia="仿宋" w:cs="仿宋"/>
          <w:sz w:val="32"/>
          <w:szCs w:val="32"/>
        </w:rPr>
        <w:t>诚实守信，积极履行社会责任。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申报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深圳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水利工程行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优秀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企业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申报表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材料，我们确保全部内容真实有效，我单位对此负责，自愿接受协会监督管理，并承担由此引发的法律责任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企业名称（公章）：</w:t>
      </w:r>
    </w:p>
    <w:p>
      <w:pPr>
        <w:adjustRightInd w:val="0"/>
        <w:snapToGrid w:val="0"/>
        <w:spacing w:line="360" w:lineRule="auto"/>
        <w:ind w:right="560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190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2022-12-16T08:04:00Z</dcterms:created>
  <dc:creator>Sgl</dc:creator>
  <cp:lastModifiedBy>Sara</cp:lastModifiedBy>
  <dcterms:modified xsi:type="dcterms:W3CDTF">2022-12-16T08:08:13Z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217DE38433E44D03A8C711B678F8ED16</vt:lpwstr>
  </property>
</Properties>
</file>